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A0" w:rsidRPr="00351C9B" w:rsidRDefault="003C41A0" w:rsidP="00351C9B">
      <w:pPr>
        <w:pStyle w:val="Prrafodelista"/>
        <w:ind w:left="1416" w:hanging="69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41A0" w:rsidRPr="00F76DD4" w:rsidRDefault="003C41A0" w:rsidP="00723449">
      <w:pPr>
        <w:jc w:val="center"/>
        <w:rPr>
          <w:b/>
        </w:rPr>
      </w:pPr>
      <w:r w:rsidRPr="00F76DD4">
        <w:rPr>
          <w:b/>
        </w:rPr>
        <w:t>NOTA INFORMATIVA DE LA COMISIÓN PERMANENTE DE FOAL</w:t>
      </w:r>
    </w:p>
    <w:p w:rsidR="003C41A0" w:rsidRPr="00F76DD4" w:rsidRDefault="003C41A0" w:rsidP="00351C9B">
      <w:pPr>
        <w:jc w:val="both"/>
        <w:rPr>
          <w:b/>
        </w:rPr>
      </w:pPr>
    </w:p>
    <w:p w:rsidR="003C41A0" w:rsidRPr="00351C9B" w:rsidRDefault="003C41A0" w:rsidP="00351C9B">
      <w:pPr>
        <w:jc w:val="both"/>
      </w:pPr>
    </w:p>
    <w:p w:rsidR="003756D4" w:rsidRPr="00351C9B" w:rsidRDefault="003756D4" w:rsidP="00351C9B">
      <w:pPr>
        <w:jc w:val="both"/>
      </w:pPr>
      <w:r w:rsidRPr="00351C9B">
        <w:t>Por la presente nota, se informa acerca de los proyectos de cooperación en América Latina aprobados en la reuni</w:t>
      </w:r>
      <w:r w:rsidR="00F76DD4">
        <w:t>ón</w:t>
      </w:r>
      <w:r w:rsidRPr="00351C9B">
        <w:t xml:space="preserve"> de la Comisión Permanente de FOAL</w:t>
      </w:r>
      <w:r w:rsidR="00F76DD4">
        <w:t xml:space="preserve"> </w:t>
      </w:r>
      <w:r w:rsidRPr="00351C9B">
        <w:t>celebrada</w:t>
      </w:r>
      <w:r w:rsidR="00F76DD4">
        <w:t xml:space="preserve"> el pasado 21 de septiembre:</w:t>
      </w:r>
    </w:p>
    <w:p w:rsidR="00351C9B" w:rsidRDefault="00351C9B" w:rsidP="00351C9B">
      <w:pPr>
        <w:jc w:val="both"/>
        <w:rPr>
          <w:b/>
          <w:bCs/>
          <w:lang w:val="es-ES_tradnl"/>
        </w:rPr>
      </w:pPr>
    </w:p>
    <w:p w:rsidR="00F76DD4" w:rsidRPr="00F76DD4" w:rsidRDefault="00F76DD4" w:rsidP="00F76DD4">
      <w:pPr>
        <w:jc w:val="both"/>
        <w:rPr>
          <w:b/>
          <w:bCs/>
          <w:lang w:val="es-ES_tradnl"/>
        </w:rPr>
      </w:pPr>
    </w:p>
    <w:p w:rsidR="00F76DD4" w:rsidRPr="00F76DD4" w:rsidRDefault="00F76DD4" w:rsidP="00F76DD4">
      <w:pPr>
        <w:pStyle w:val="Ttulo2"/>
        <w:numPr>
          <w:ilvl w:val="0"/>
          <w:numId w:val="18"/>
        </w:numPr>
        <w:spacing w:line="360" w:lineRule="auto"/>
        <w:ind w:left="284"/>
        <w:rPr>
          <w:rFonts w:ascii="Times New Roman" w:hAnsi="Times New Roman"/>
          <w:b/>
          <w:spacing w:val="0"/>
          <w:szCs w:val="24"/>
          <w:lang w:eastAsia="es-ES"/>
        </w:rPr>
      </w:pPr>
      <w:r w:rsidRPr="00F76DD4">
        <w:rPr>
          <w:rFonts w:ascii="Times New Roman" w:hAnsi="Times New Roman"/>
          <w:b/>
          <w:spacing w:val="0"/>
          <w:szCs w:val="24"/>
          <w:lang w:eastAsia="es-ES"/>
        </w:rPr>
        <w:t>Proyecto  “Promoviendo los Derechos de las Personas Sordociegas a través de su rehabilitación”, de la Asociación de Sordociegos de Nicaragua</w:t>
      </w:r>
    </w:p>
    <w:p w:rsidR="00F76DD4" w:rsidRPr="00F76DD4" w:rsidRDefault="00F76DD4" w:rsidP="00F76DD4">
      <w:pPr>
        <w:jc w:val="both"/>
        <w:rPr>
          <w:b/>
          <w:bCs/>
        </w:rPr>
      </w:pP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 xml:space="preserve">Este proyecto beneficiará a 50 personas con sordoceguera, de 12 a 45 años,  que residen en zonas alejadas de la ciudad y que, por ello, y por no contar con recursos, no han sido atendidas hasta el momento en el desarrollo de sus capacidades. </w:t>
      </w:r>
    </w:p>
    <w:p w:rsidR="00F76DD4" w:rsidRPr="00F76DD4" w:rsidRDefault="00F76DD4" w:rsidP="00F76DD4">
      <w:pPr>
        <w:jc w:val="both"/>
        <w:rPr>
          <w:bCs/>
          <w:lang w:val="es-ES_tradnl"/>
        </w:rPr>
      </w:pP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>Se trata de apoyar a esta asociación con la financiación de un 23,07% del coste del proyecto, para que ofrezca a estas personas la rehabilitación que necesitan para mejorar su movilidad, comunicación y socialización en el entorno en el que residen.</w:t>
      </w:r>
    </w:p>
    <w:p w:rsidR="00F76DD4" w:rsidRPr="00F76DD4" w:rsidRDefault="00F76DD4" w:rsidP="00F76DD4">
      <w:pPr>
        <w:jc w:val="both"/>
        <w:rPr>
          <w:b/>
          <w:bCs/>
          <w:lang w:val="es-ES_tradnl"/>
        </w:rPr>
      </w:pPr>
      <w:r w:rsidRPr="00F76DD4">
        <w:rPr>
          <w:b/>
          <w:bCs/>
          <w:lang w:val="es-ES_tradnl"/>
        </w:rPr>
        <w:t xml:space="preserve"> </w:t>
      </w:r>
    </w:p>
    <w:p w:rsidR="00F76DD4" w:rsidRPr="00F76DD4" w:rsidRDefault="00F76DD4" w:rsidP="00F76DD4">
      <w:pPr>
        <w:pStyle w:val="Ttulo2"/>
        <w:numPr>
          <w:ilvl w:val="0"/>
          <w:numId w:val="18"/>
        </w:numPr>
        <w:spacing w:line="360" w:lineRule="auto"/>
        <w:ind w:left="284"/>
        <w:rPr>
          <w:rFonts w:ascii="Times New Roman" w:hAnsi="Times New Roman"/>
          <w:b/>
          <w:spacing w:val="0"/>
          <w:szCs w:val="24"/>
          <w:lang w:eastAsia="es-ES"/>
        </w:rPr>
      </w:pPr>
      <w:r w:rsidRPr="00F76DD4">
        <w:rPr>
          <w:rFonts w:ascii="Times New Roman" w:hAnsi="Times New Roman"/>
          <w:b/>
          <w:spacing w:val="0"/>
          <w:szCs w:val="24"/>
          <w:lang w:eastAsia="es-ES"/>
        </w:rPr>
        <w:t>Plan Operativo Anual del Ministerio de Educación de República Dominicana</w:t>
      </w:r>
    </w:p>
    <w:p w:rsidR="00F76DD4" w:rsidRPr="00F76DD4" w:rsidRDefault="00F76DD4" w:rsidP="00F76DD4">
      <w:pPr>
        <w:jc w:val="both"/>
        <w:rPr>
          <w:b/>
          <w:bCs/>
          <w:lang w:val="es-ES_tradnl"/>
        </w:rPr>
      </w:pP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>Este plan de trabajo diseñado para dar apoyo a la comunidad educativa en la que se incluyen los estudiantes con discapacidad visual de la República Dominicana, favorecerá a 1.500 docentes, 320 familias, 42 Maestros Itinerantes, 600 centros escolares y   855 estudiantes.</w:t>
      </w: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 xml:space="preserve"> </w:t>
      </w: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>Con el apoyo de FOAL, que financiará el 35% de su coste, se llevarán a cabo talleres para docentes que cuentan con alumnos ciegos inclu</w:t>
      </w:r>
      <w:r w:rsidR="002A17DD">
        <w:rPr>
          <w:bCs/>
          <w:lang w:val="es-ES_tradnl"/>
        </w:rPr>
        <w:t>i</w:t>
      </w:r>
      <w:r w:rsidRPr="00F76DD4">
        <w:rPr>
          <w:bCs/>
          <w:lang w:val="es-ES_tradnl"/>
        </w:rPr>
        <w:t>dos en sus aulas, talleres para padres de estudiantes con discapacidad visual y sordoceguera, visitas de profesores de apoyo y la participación de estudiantes ciegos en un proyecto de la OEI para el fomento de la lectura que pretende generar líderes  cuentacuentos.</w:t>
      </w:r>
    </w:p>
    <w:p w:rsidR="00F76DD4" w:rsidRPr="00F76DD4" w:rsidRDefault="00F76DD4" w:rsidP="00F76DD4">
      <w:pPr>
        <w:jc w:val="both"/>
        <w:rPr>
          <w:bCs/>
          <w:lang w:val="es-ES_tradnl"/>
        </w:rPr>
      </w:pPr>
    </w:p>
    <w:p w:rsidR="00F76DD4" w:rsidRPr="00F76DD4" w:rsidRDefault="00F76DD4" w:rsidP="00F76DD4">
      <w:pPr>
        <w:jc w:val="both"/>
        <w:rPr>
          <w:bCs/>
          <w:lang w:val="es-ES_tradnl"/>
        </w:rPr>
      </w:pP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>En el diseño y ejecución de este POA colabora un voluntario de FOAL, con amplia experiencia como profesor de apoyo itinerante en la ONCE.</w:t>
      </w:r>
    </w:p>
    <w:p w:rsidR="00F76DD4" w:rsidRPr="00F76DD4" w:rsidRDefault="00F76DD4" w:rsidP="00F76DD4">
      <w:pPr>
        <w:jc w:val="both"/>
        <w:rPr>
          <w:b/>
          <w:bCs/>
          <w:lang w:val="es-ES_tradnl"/>
        </w:rPr>
      </w:pPr>
    </w:p>
    <w:p w:rsidR="00F76DD4" w:rsidRPr="00F76DD4" w:rsidRDefault="00F76DD4" w:rsidP="00F76DD4">
      <w:pPr>
        <w:pStyle w:val="Ttulo2"/>
        <w:numPr>
          <w:ilvl w:val="0"/>
          <w:numId w:val="18"/>
        </w:numPr>
        <w:spacing w:line="360" w:lineRule="auto"/>
        <w:ind w:left="284"/>
        <w:rPr>
          <w:rFonts w:ascii="Times New Roman" w:hAnsi="Times New Roman"/>
          <w:b/>
          <w:spacing w:val="0"/>
          <w:szCs w:val="24"/>
          <w:lang w:eastAsia="es-ES"/>
        </w:rPr>
      </w:pPr>
      <w:r w:rsidRPr="00F76DD4">
        <w:rPr>
          <w:rFonts w:ascii="Times New Roman" w:hAnsi="Times New Roman"/>
          <w:b/>
          <w:spacing w:val="0"/>
          <w:szCs w:val="24"/>
          <w:lang w:eastAsia="es-ES"/>
        </w:rPr>
        <w:t xml:space="preserve">Plan Operativo Anual del Ministerio de Educación de Nicaragua  </w:t>
      </w:r>
    </w:p>
    <w:p w:rsidR="00F76DD4" w:rsidRPr="00F76DD4" w:rsidRDefault="00F76DD4" w:rsidP="00F76DD4">
      <w:pPr>
        <w:jc w:val="both"/>
        <w:rPr>
          <w:b/>
          <w:bCs/>
          <w:lang w:val="es-ES_tradnl"/>
        </w:rPr>
      </w:pP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 xml:space="preserve">Con este plan de trabajo, al que FOAL aportará el 60% de su coste, se fortalecerá en la atención a estudiantes con discapacidad visual a 200 docentes, se formará en el uso del Editor Matemático LAMBDA a 6 profesionales del Ministerio de Educación, y se dotará a los alumnos de los libros en braille y audio que precisan para seguir sus estudios, así como del material en relieve y herramientas básicas para la escritura en </w:t>
      </w:r>
      <w:r w:rsidRPr="00F76DD4">
        <w:rPr>
          <w:bCs/>
          <w:lang w:val="es-ES_tradnl"/>
        </w:rPr>
        <w:lastRenderedPageBreak/>
        <w:t xml:space="preserve">braille, el dibujo y el cálculo. Además, se mejorará la dotación de material del centro de Recursos Educativos (CRECI).  </w:t>
      </w:r>
    </w:p>
    <w:p w:rsidR="00F76DD4" w:rsidRPr="00F76DD4" w:rsidRDefault="00F76DD4" w:rsidP="00F76DD4">
      <w:pPr>
        <w:jc w:val="both"/>
        <w:rPr>
          <w:bCs/>
          <w:lang w:val="es-ES_tradnl"/>
        </w:rPr>
      </w:pP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>Por otro lado, se llevará a cabo la capacitación de 68 docentes de educación física de escuelas regulares en las que hay estudiantes con discapacidad inclu</w:t>
      </w:r>
      <w:r w:rsidR="002A17DD">
        <w:rPr>
          <w:bCs/>
          <w:lang w:val="es-ES_tradnl"/>
        </w:rPr>
        <w:t>i</w:t>
      </w:r>
      <w:r w:rsidRPr="00F76DD4">
        <w:rPr>
          <w:bCs/>
          <w:lang w:val="es-ES_tradnl"/>
        </w:rPr>
        <w:t xml:space="preserve">dos, para que conozcan cómo abordar su incorporación a la actividad física y deportiva. </w:t>
      </w:r>
    </w:p>
    <w:p w:rsidR="00F76DD4" w:rsidRPr="00F76DD4" w:rsidRDefault="00F76DD4" w:rsidP="00F76DD4">
      <w:pPr>
        <w:jc w:val="both"/>
        <w:rPr>
          <w:bCs/>
          <w:lang w:val="es-ES_tradnl"/>
        </w:rPr>
      </w:pP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>Cabe decir que, para la ejecución de este POA, la FOAL cuenta con una importante dotación de material del Banco de Ayudas técnicas procedentes de donaciones de afiliados a la ONCE, así como con la intervención de dos voluntarios: uno de ellos brindará la capacitación en el uso de LAMBDA y   otro, que ejerce como Coordinador Deportivo, se desplazará a Nicaragua para colaborar en la formación de los docentes mencionados.</w:t>
      </w:r>
    </w:p>
    <w:p w:rsidR="00F76DD4" w:rsidRPr="00F76DD4" w:rsidRDefault="00F76DD4" w:rsidP="00F76DD4">
      <w:pPr>
        <w:jc w:val="both"/>
        <w:rPr>
          <w:b/>
          <w:bCs/>
          <w:lang w:val="es-ES_tradnl"/>
        </w:rPr>
      </w:pPr>
    </w:p>
    <w:p w:rsidR="00F76DD4" w:rsidRPr="00F76DD4" w:rsidRDefault="00F76DD4" w:rsidP="00F76DD4">
      <w:pPr>
        <w:pStyle w:val="Ttulo2"/>
        <w:numPr>
          <w:ilvl w:val="0"/>
          <w:numId w:val="18"/>
        </w:numPr>
        <w:spacing w:line="360" w:lineRule="auto"/>
        <w:ind w:left="284"/>
        <w:rPr>
          <w:rFonts w:ascii="Times New Roman" w:hAnsi="Times New Roman"/>
          <w:b/>
          <w:spacing w:val="0"/>
          <w:szCs w:val="24"/>
          <w:lang w:eastAsia="es-ES"/>
        </w:rPr>
      </w:pPr>
      <w:r w:rsidRPr="00F76DD4">
        <w:rPr>
          <w:rFonts w:ascii="Times New Roman" w:hAnsi="Times New Roman"/>
          <w:b/>
          <w:spacing w:val="0"/>
          <w:szCs w:val="24"/>
          <w:lang w:eastAsia="es-ES"/>
        </w:rPr>
        <w:t xml:space="preserve">Proyecto de rehabilitación de la Asociación Tina Blanco de Zihuatanejo </w:t>
      </w:r>
    </w:p>
    <w:p w:rsidR="00F76DD4" w:rsidRPr="00F76DD4" w:rsidRDefault="00F76DD4" w:rsidP="00F76DD4">
      <w:pPr>
        <w:jc w:val="both"/>
        <w:rPr>
          <w:b/>
          <w:bCs/>
          <w:lang w:val="es-ES_tradnl"/>
        </w:rPr>
      </w:pP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>Este proyecto tiene como objetivo general capacitar a 16 profesionales que trabajan en centro</w:t>
      </w:r>
      <w:r w:rsidR="002A17DD">
        <w:rPr>
          <w:bCs/>
          <w:lang w:val="es-ES_tradnl"/>
        </w:rPr>
        <w:t xml:space="preserve">s que atienden a  Personas con </w:t>
      </w:r>
      <w:r w:rsidRPr="00F76DD4">
        <w:rPr>
          <w:bCs/>
          <w:lang w:val="es-ES_tradnl"/>
        </w:rPr>
        <w:t>discapacidad, para que ejerzan como formadores, a su vez, de otros técnicos que puedan brindar la rehabilitación que necesitan las personas ciegas en los estados de Guerrero, Guanajuato, San Luís Potosí, Querétaro, Michoacán y Tamaulipas</w:t>
      </w: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 xml:space="preserve"> </w:t>
      </w: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>Con el proyecto, que se complementará con la dotación de material básico para la movilidad y la estimulación visual, se favorecerá a 16 formadores, 80 docentes y  400 estudiantes.</w:t>
      </w: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 xml:space="preserve"> </w:t>
      </w: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>FOAL aportará el 58% del valor del proyecto, además de la intervención en terreno de un voluntario, técnico de Rehabilitación de la ONCE, que será quien brinde la capacitación.</w:t>
      </w:r>
    </w:p>
    <w:p w:rsidR="00F76DD4" w:rsidRPr="00F76DD4" w:rsidRDefault="00F76DD4" w:rsidP="00F76DD4">
      <w:pPr>
        <w:jc w:val="both"/>
        <w:rPr>
          <w:b/>
          <w:bCs/>
          <w:lang w:val="es-ES_tradnl"/>
        </w:rPr>
      </w:pPr>
      <w:r w:rsidRPr="00F76DD4">
        <w:rPr>
          <w:b/>
          <w:bCs/>
          <w:lang w:val="es-ES_tradnl"/>
        </w:rPr>
        <w:t xml:space="preserve"> </w:t>
      </w:r>
    </w:p>
    <w:p w:rsidR="00F76DD4" w:rsidRPr="00F76DD4" w:rsidRDefault="00F76DD4" w:rsidP="00F76DD4">
      <w:pPr>
        <w:pStyle w:val="Ttulo2"/>
        <w:numPr>
          <w:ilvl w:val="0"/>
          <w:numId w:val="18"/>
        </w:numPr>
        <w:spacing w:line="360" w:lineRule="auto"/>
        <w:ind w:left="284"/>
        <w:rPr>
          <w:rFonts w:ascii="Times New Roman" w:hAnsi="Times New Roman"/>
          <w:b/>
          <w:spacing w:val="0"/>
          <w:szCs w:val="24"/>
          <w:lang w:eastAsia="es-ES"/>
        </w:rPr>
      </w:pPr>
      <w:r w:rsidRPr="00F76DD4">
        <w:rPr>
          <w:rFonts w:ascii="Times New Roman" w:hAnsi="Times New Roman"/>
          <w:b/>
          <w:spacing w:val="0"/>
          <w:szCs w:val="24"/>
          <w:lang w:eastAsia="es-ES"/>
        </w:rPr>
        <w:t>Curso “Propuesta Curricular: Diseño, abordaje e implementación, garantizando el acceso a los estudiantes con discapacidad”, Centro de Formación de la Cooperación Española de La Antigua (Guatemala), del 26 al 30 de septiembre de 2016.</w:t>
      </w:r>
    </w:p>
    <w:p w:rsidR="00F76DD4" w:rsidRPr="00F76DD4" w:rsidRDefault="00F76DD4" w:rsidP="00F76DD4">
      <w:pPr>
        <w:jc w:val="both"/>
        <w:rPr>
          <w:b/>
          <w:bCs/>
          <w:lang w:val="es-ES_tradnl"/>
        </w:rPr>
      </w:pP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 xml:space="preserve">Este curso, que FOAL organiza con la colaboración de la AECID, y al que contribuye con un 35,41% de su coste, tiene como objetivo Informar sobre las concepciones actuales de multidiscapacidad y sordoceguera, educación e inclusión, y su vinculación con aspectos legales, así como reflexionar sobre la propuesta curricular inclusiva, sus objetivos, abordaje, estrategias e implementación en cada nivel. </w:t>
      </w:r>
    </w:p>
    <w:p w:rsidR="00F76DD4" w:rsidRPr="00F76DD4" w:rsidRDefault="00F76DD4" w:rsidP="00F76DD4">
      <w:pPr>
        <w:jc w:val="both"/>
        <w:rPr>
          <w:bCs/>
          <w:lang w:val="es-ES_tradnl"/>
        </w:rPr>
      </w:pP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 xml:space="preserve">Está dirigido a responsables gubernamentales, directores pedagógicos de programas educativos y representantes de familias, de México, Centro América y Caribe y contará con la asistencia de 27 personas procedentes de 8 países. </w:t>
      </w:r>
    </w:p>
    <w:p w:rsidR="00F76DD4" w:rsidRPr="00F76DD4" w:rsidRDefault="00F76DD4" w:rsidP="00F76DD4">
      <w:pPr>
        <w:jc w:val="both"/>
        <w:rPr>
          <w:b/>
          <w:bCs/>
          <w:lang w:val="es-ES_tradnl"/>
        </w:rPr>
      </w:pPr>
    </w:p>
    <w:p w:rsidR="00F76DD4" w:rsidRPr="00F76DD4" w:rsidRDefault="00F76DD4" w:rsidP="00F76DD4">
      <w:pPr>
        <w:jc w:val="both"/>
        <w:rPr>
          <w:b/>
          <w:bCs/>
          <w:lang w:val="es-ES_tradnl"/>
        </w:rPr>
      </w:pPr>
    </w:p>
    <w:p w:rsidR="00F76DD4" w:rsidRPr="00F76DD4" w:rsidRDefault="00F76DD4" w:rsidP="00F76DD4">
      <w:pPr>
        <w:pStyle w:val="Ttulo2"/>
        <w:numPr>
          <w:ilvl w:val="0"/>
          <w:numId w:val="18"/>
        </w:numPr>
        <w:spacing w:line="360" w:lineRule="auto"/>
        <w:ind w:left="284"/>
        <w:rPr>
          <w:rFonts w:ascii="Times New Roman" w:hAnsi="Times New Roman"/>
          <w:b/>
          <w:spacing w:val="0"/>
          <w:szCs w:val="24"/>
          <w:lang w:eastAsia="es-ES"/>
        </w:rPr>
      </w:pPr>
      <w:r w:rsidRPr="00F76DD4">
        <w:rPr>
          <w:rFonts w:ascii="Times New Roman" w:hAnsi="Times New Roman"/>
          <w:b/>
          <w:spacing w:val="0"/>
          <w:szCs w:val="24"/>
          <w:lang w:eastAsia="es-ES"/>
        </w:rPr>
        <w:t>Valoración del apoyo a la Presidencia de ICEVI-LATINOAMÉRICA para el periodo octubre - diciembre de 2016</w:t>
      </w:r>
    </w:p>
    <w:p w:rsidR="00F76DD4" w:rsidRPr="00F76DD4" w:rsidRDefault="00F76DD4" w:rsidP="00F76DD4">
      <w:pPr>
        <w:jc w:val="both"/>
        <w:rPr>
          <w:b/>
          <w:bCs/>
          <w:lang w:val="es-ES_tradnl"/>
        </w:rPr>
      </w:pPr>
    </w:p>
    <w:p w:rsidR="00F76DD4" w:rsidRPr="00F76DD4" w:rsidRDefault="00F76DD4" w:rsidP="00F76DD4">
      <w:pPr>
        <w:jc w:val="both"/>
        <w:rPr>
          <w:bCs/>
          <w:lang w:val="es-ES_tradnl"/>
        </w:rPr>
      </w:pPr>
      <w:r w:rsidRPr="00F76DD4">
        <w:rPr>
          <w:bCs/>
          <w:lang w:val="es-ES_tradnl"/>
        </w:rPr>
        <w:t>Además de todo lo anterior, se aprueba la aportación al programa de actividades institucionales de ICEVI Latinoamérica, organización dedicada a la mejora de la educación de los estudiantes con discapacidad visual en la región,  para el último trimestre de 2016, tras la reciente constitución de su nueva Junta Directiva.</w:t>
      </w:r>
    </w:p>
    <w:p w:rsidR="00F76DD4" w:rsidRDefault="00F76DD4" w:rsidP="00351C9B">
      <w:pPr>
        <w:jc w:val="both"/>
        <w:rPr>
          <w:b/>
          <w:bCs/>
          <w:lang w:val="es-ES_tradnl"/>
        </w:rPr>
      </w:pPr>
    </w:p>
    <w:p w:rsidR="00F76DD4" w:rsidRDefault="00F76DD4" w:rsidP="00351C9B">
      <w:pPr>
        <w:jc w:val="both"/>
        <w:rPr>
          <w:b/>
          <w:bCs/>
          <w:lang w:val="es-ES_tradnl"/>
        </w:rPr>
      </w:pPr>
    </w:p>
    <w:p w:rsidR="00351C9B" w:rsidRPr="00351C9B" w:rsidRDefault="00351C9B" w:rsidP="00351C9B">
      <w:pPr>
        <w:ind w:left="1080"/>
        <w:jc w:val="both"/>
        <w:rPr>
          <w:sz w:val="22"/>
          <w:szCs w:val="22"/>
        </w:rPr>
      </w:pPr>
    </w:p>
    <w:p w:rsidR="00683C15" w:rsidRPr="00351C9B" w:rsidRDefault="00683C15" w:rsidP="00351C9B">
      <w:pPr>
        <w:jc w:val="both"/>
        <w:rPr>
          <w:b/>
          <w:u w:val="single"/>
        </w:rPr>
      </w:pPr>
    </w:p>
    <w:sectPr w:rsidR="00683C15" w:rsidRPr="00351C9B" w:rsidSect="007A73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BA" w:rsidRDefault="00FD6ABA">
      <w:r>
        <w:separator/>
      </w:r>
    </w:p>
  </w:endnote>
  <w:endnote w:type="continuationSeparator" w:id="0">
    <w:p w:rsidR="00FD6ABA" w:rsidRDefault="00FD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BA" w:rsidRDefault="00FD6ABA">
      <w:r>
        <w:separator/>
      </w:r>
    </w:p>
  </w:footnote>
  <w:footnote w:type="continuationSeparator" w:id="0">
    <w:p w:rsidR="00FD6ABA" w:rsidRDefault="00FD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8F" w:rsidRDefault="00CE458F" w:rsidP="00B64537">
    <w:pPr>
      <w:pStyle w:val="Encabezado"/>
      <w:jc w:val="right"/>
      <w:rPr>
        <w:color w:val="339966"/>
        <w:sz w:val="16"/>
        <w:szCs w:val="16"/>
      </w:rPr>
    </w:pPr>
    <w:r>
      <w:rPr>
        <w:color w:val="339966"/>
        <w:sz w:val="16"/>
        <w:szCs w:val="16"/>
      </w:rPr>
      <w:t xml:space="preserve"> Valoración de Proyecto</w:t>
    </w:r>
    <w:r w:rsidR="00DB5DCF">
      <w:rPr>
        <w:color w:val="339966"/>
        <w:sz w:val="16"/>
        <w:szCs w:val="16"/>
      </w:rPr>
      <w:t>s</w:t>
    </w:r>
    <w:r>
      <w:rPr>
        <w:color w:val="339966"/>
        <w:sz w:val="16"/>
        <w:szCs w:val="16"/>
      </w:rPr>
      <w:t xml:space="preserve"> </w:t>
    </w:r>
  </w:p>
  <w:p w:rsidR="00CE458F" w:rsidRPr="00021C5E" w:rsidRDefault="00CE458F" w:rsidP="00B64537">
    <w:pPr>
      <w:pStyle w:val="Encabezado"/>
      <w:jc w:val="right"/>
      <w:rPr>
        <w:color w:val="339966"/>
        <w:sz w:val="16"/>
        <w:szCs w:val="16"/>
      </w:rPr>
    </w:pPr>
    <w:r>
      <w:rPr>
        <w:color w:val="339966"/>
        <w:sz w:val="16"/>
        <w:szCs w:val="16"/>
      </w:rPr>
      <w:t xml:space="preserve">Presentados a </w:t>
    </w:r>
    <w:smartTag w:uri="urn:schemas-microsoft-com:office:smarttags" w:element="PersonName">
      <w:smartTagPr>
        <w:attr w:name="ProductID" w:val="la Convocatoria Abierta"/>
      </w:smartTagPr>
      <w:r>
        <w:rPr>
          <w:color w:val="339966"/>
          <w:sz w:val="16"/>
          <w:szCs w:val="16"/>
        </w:rPr>
        <w:t>la Convocatoria Abierta</w:t>
      </w:r>
    </w:smartTag>
    <w:r>
      <w:rPr>
        <w:color w:val="339966"/>
        <w:sz w:val="16"/>
        <w:szCs w:val="16"/>
      </w:rPr>
      <w:t xml:space="preserve"> y Permanente de FOAL </w:t>
    </w:r>
    <w:r w:rsidRPr="00021C5E">
      <w:rPr>
        <w:color w:val="339966"/>
        <w:sz w:val="16"/>
        <w:szCs w:val="16"/>
      </w:rPr>
      <w:t xml:space="preserve"> </w:t>
    </w:r>
  </w:p>
  <w:p w:rsidR="00CE458F" w:rsidRDefault="004E08A2" w:rsidP="00B64537">
    <w:pPr>
      <w:pStyle w:val="Encabezado"/>
    </w:pPr>
    <w:r>
      <w:rPr>
        <w:noProof/>
        <w:color w:val="339966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445135</wp:posOffset>
              </wp:positionV>
              <wp:extent cx="4914900" cy="0"/>
              <wp:effectExtent l="9525" t="16510" r="952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5.05pt" to="423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" strokecolor="#396" strokeweight="1.5pt"/>
          </w:pict>
        </mc:Fallback>
      </mc:AlternateContent>
    </w:r>
    <w:r w:rsidR="00CE458F">
      <w:rPr>
        <w:noProof/>
      </w:rPr>
      <w:drawing>
        <wp:inline distT="0" distB="0" distL="0" distR="0">
          <wp:extent cx="1600200" cy="679450"/>
          <wp:effectExtent l="19050" t="0" r="0" b="0"/>
          <wp:docPr id="1" name="Imagen 1" descr="fo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58F" w:rsidRDefault="00CE45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721CF9"/>
    <w:multiLevelType w:val="hybridMultilevel"/>
    <w:tmpl w:val="42D44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27766"/>
    <w:multiLevelType w:val="hybridMultilevel"/>
    <w:tmpl w:val="B13C003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4328"/>
    <w:multiLevelType w:val="hybridMultilevel"/>
    <w:tmpl w:val="3C469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720C"/>
    <w:multiLevelType w:val="hybridMultilevel"/>
    <w:tmpl w:val="F87080B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7307B"/>
    <w:multiLevelType w:val="hybridMultilevel"/>
    <w:tmpl w:val="51604C9C"/>
    <w:lvl w:ilvl="0" w:tplc="9A902AD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8653E"/>
    <w:multiLevelType w:val="hybridMultilevel"/>
    <w:tmpl w:val="584E0052"/>
    <w:lvl w:ilvl="0" w:tplc="7246446C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6178A"/>
    <w:multiLevelType w:val="hybridMultilevel"/>
    <w:tmpl w:val="9218238E"/>
    <w:lvl w:ilvl="0" w:tplc="8478750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46402"/>
    <w:multiLevelType w:val="hybridMultilevel"/>
    <w:tmpl w:val="C0808074"/>
    <w:lvl w:ilvl="0" w:tplc="CEFE7C3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A3D99"/>
    <w:multiLevelType w:val="hybridMultilevel"/>
    <w:tmpl w:val="D31ED03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3D3315"/>
    <w:multiLevelType w:val="hybridMultilevel"/>
    <w:tmpl w:val="6BEA8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71D91"/>
    <w:multiLevelType w:val="hybridMultilevel"/>
    <w:tmpl w:val="C9960D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573107"/>
    <w:multiLevelType w:val="hybridMultilevel"/>
    <w:tmpl w:val="30C69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446A9"/>
    <w:multiLevelType w:val="hybridMultilevel"/>
    <w:tmpl w:val="220A2594"/>
    <w:lvl w:ilvl="0" w:tplc="FAD6AA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73820"/>
    <w:multiLevelType w:val="hybridMultilevel"/>
    <w:tmpl w:val="12E422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67A62"/>
    <w:multiLevelType w:val="hybridMultilevel"/>
    <w:tmpl w:val="4C9C61D6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BC3C84"/>
    <w:multiLevelType w:val="hybridMultilevel"/>
    <w:tmpl w:val="8C18F0A4"/>
    <w:lvl w:ilvl="0" w:tplc="F154E8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30510"/>
    <w:multiLevelType w:val="hybridMultilevel"/>
    <w:tmpl w:val="3B96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6"/>
  </w:num>
  <w:num w:numId="11">
    <w:abstractNumId w:val="16"/>
  </w:num>
  <w:num w:numId="12">
    <w:abstractNumId w:val="12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13"/>
    <w:rsid w:val="00007B99"/>
    <w:rsid w:val="00015BBC"/>
    <w:rsid w:val="00017868"/>
    <w:rsid w:val="000242B6"/>
    <w:rsid w:val="00040B9E"/>
    <w:rsid w:val="0004231E"/>
    <w:rsid w:val="00050213"/>
    <w:rsid w:val="000602EB"/>
    <w:rsid w:val="00067322"/>
    <w:rsid w:val="00067813"/>
    <w:rsid w:val="00067D96"/>
    <w:rsid w:val="00095A2C"/>
    <w:rsid w:val="001024A9"/>
    <w:rsid w:val="001258FB"/>
    <w:rsid w:val="001272A9"/>
    <w:rsid w:val="00127689"/>
    <w:rsid w:val="001355C7"/>
    <w:rsid w:val="00136076"/>
    <w:rsid w:val="001852D1"/>
    <w:rsid w:val="00194EB4"/>
    <w:rsid w:val="001A2B37"/>
    <w:rsid w:val="001B1382"/>
    <w:rsid w:val="001B1E9D"/>
    <w:rsid w:val="001C31D6"/>
    <w:rsid w:val="001D5183"/>
    <w:rsid w:val="001E27E4"/>
    <w:rsid w:val="001F6037"/>
    <w:rsid w:val="002052E1"/>
    <w:rsid w:val="00205E10"/>
    <w:rsid w:val="00233375"/>
    <w:rsid w:val="00275404"/>
    <w:rsid w:val="002A17DD"/>
    <w:rsid w:val="002C5C43"/>
    <w:rsid w:val="002E6AFC"/>
    <w:rsid w:val="002F5EB6"/>
    <w:rsid w:val="00302EC3"/>
    <w:rsid w:val="00305413"/>
    <w:rsid w:val="003063FD"/>
    <w:rsid w:val="0031110C"/>
    <w:rsid w:val="00313E51"/>
    <w:rsid w:val="00325B42"/>
    <w:rsid w:val="00351C9B"/>
    <w:rsid w:val="00353FDE"/>
    <w:rsid w:val="003756D4"/>
    <w:rsid w:val="003913E7"/>
    <w:rsid w:val="003B5728"/>
    <w:rsid w:val="003C41A0"/>
    <w:rsid w:val="003C4B47"/>
    <w:rsid w:val="00402D78"/>
    <w:rsid w:val="00412067"/>
    <w:rsid w:val="00447E0D"/>
    <w:rsid w:val="00450D43"/>
    <w:rsid w:val="004575CA"/>
    <w:rsid w:val="00474875"/>
    <w:rsid w:val="004838BD"/>
    <w:rsid w:val="00491AB2"/>
    <w:rsid w:val="00496F82"/>
    <w:rsid w:val="004B30C4"/>
    <w:rsid w:val="004B6C83"/>
    <w:rsid w:val="004E08A2"/>
    <w:rsid w:val="004F2B9C"/>
    <w:rsid w:val="00502D2E"/>
    <w:rsid w:val="00504194"/>
    <w:rsid w:val="005137A4"/>
    <w:rsid w:val="00585C1A"/>
    <w:rsid w:val="005A08AA"/>
    <w:rsid w:val="005A3E16"/>
    <w:rsid w:val="005B1695"/>
    <w:rsid w:val="005C03E5"/>
    <w:rsid w:val="005C7E4E"/>
    <w:rsid w:val="005D1030"/>
    <w:rsid w:val="005F24E1"/>
    <w:rsid w:val="005F5C55"/>
    <w:rsid w:val="0060411B"/>
    <w:rsid w:val="0061283B"/>
    <w:rsid w:val="006136B5"/>
    <w:rsid w:val="00625AFB"/>
    <w:rsid w:val="00634228"/>
    <w:rsid w:val="00635647"/>
    <w:rsid w:val="00635DE1"/>
    <w:rsid w:val="006400BA"/>
    <w:rsid w:val="00652C2B"/>
    <w:rsid w:val="00653335"/>
    <w:rsid w:val="006773A6"/>
    <w:rsid w:val="00677884"/>
    <w:rsid w:val="00683C15"/>
    <w:rsid w:val="006E404E"/>
    <w:rsid w:val="006F72C4"/>
    <w:rsid w:val="00711866"/>
    <w:rsid w:val="00723449"/>
    <w:rsid w:val="007477E5"/>
    <w:rsid w:val="0076757F"/>
    <w:rsid w:val="007A63E4"/>
    <w:rsid w:val="007A73C9"/>
    <w:rsid w:val="007B3AEC"/>
    <w:rsid w:val="007C67B2"/>
    <w:rsid w:val="007D1864"/>
    <w:rsid w:val="007E2539"/>
    <w:rsid w:val="007F0B76"/>
    <w:rsid w:val="007F2C8E"/>
    <w:rsid w:val="007F3780"/>
    <w:rsid w:val="00837A0C"/>
    <w:rsid w:val="008503A2"/>
    <w:rsid w:val="00852232"/>
    <w:rsid w:val="0087180A"/>
    <w:rsid w:val="00880785"/>
    <w:rsid w:val="008F0D42"/>
    <w:rsid w:val="008F6962"/>
    <w:rsid w:val="008F7C46"/>
    <w:rsid w:val="00911361"/>
    <w:rsid w:val="00926A9D"/>
    <w:rsid w:val="00930492"/>
    <w:rsid w:val="00933CED"/>
    <w:rsid w:val="0095068A"/>
    <w:rsid w:val="00965492"/>
    <w:rsid w:val="00973EF4"/>
    <w:rsid w:val="00974E88"/>
    <w:rsid w:val="00986CAD"/>
    <w:rsid w:val="00994585"/>
    <w:rsid w:val="009A0AE5"/>
    <w:rsid w:val="009A169D"/>
    <w:rsid w:val="009A4193"/>
    <w:rsid w:val="009B6A44"/>
    <w:rsid w:val="009C14C6"/>
    <w:rsid w:val="009D1ABE"/>
    <w:rsid w:val="009F7B5A"/>
    <w:rsid w:val="00A07A68"/>
    <w:rsid w:val="00A07BB8"/>
    <w:rsid w:val="00A30501"/>
    <w:rsid w:val="00A66CF3"/>
    <w:rsid w:val="00A66FDF"/>
    <w:rsid w:val="00A71534"/>
    <w:rsid w:val="00A827E7"/>
    <w:rsid w:val="00AA25E8"/>
    <w:rsid w:val="00AA42D8"/>
    <w:rsid w:val="00AB65CE"/>
    <w:rsid w:val="00AD45DB"/>
    <w:rsid w:val="00AD4E86"/>
    <w:rsid w:val="00B003DF"/>
    <w:rsid w:val="00B02422"/>
    <w:rsid w:val="00B24170"/>
    <w:rsid w:val="00B37B79"/>
    <w:rsid w:val="00B40031"/>
    <w:rsid w:val="00B403AD"/>
    <w:rsid w:val="00B41CB4"/>
    <w:rsid w:val="00B44839"/>
    <w:rsid w:val="00B57F88"/>
    <w:rsid w:val="00B6160C"/>
    <w:rsid w:val="00B64537"/>
    <w:rsid w:val="00B72BFE"/>
    <w:rsid w:val="00BB7A78"/>
    <w:rsid w:val="00C005A0"/>
    <w:rsid w:val="00C22705"/>
    <w:rsid w:val="00C723BE"/>
    <w:rsid w:val="00C75DFA"/>
    <w:rsid w:val="00CA0803"/>
    <w:rsid w:val="00CC39F3"/>
    <w:rsid w:val="00CE458F"/>
    <w:rsid w:val="00CE5E9B"/>
    <w:rsid w:val="00CF30A3"/>
    <w:rsid w:val="00D737EC"/>
    <w:rsid w:val="00D845BE"/>
    <w:rsid w:val="00D8618C"/>
    <w:rsid w:val="00D8722D"/>
    <w:rsid w:val="00D95B7F"/>
    <w:rsid w:val="00DA0DAB"/>
    <w:rsid w:val="00DA3A7B"/>
    <w:rsid w:val="00DB20DB"/>
    <w:rsid w:val="00DB5DCF"/>
    <w:rsid w:val="00DC4932"/>
    <w:rsid w:val="00DD78FE"/>
    <w:rsid w:val="00DF4D22"/>
    <w:rsid w:val="00E424BD"/>
    <w:rsid w:val="00E5003A"/>
    <w:rsid w:val="00E54855"/>
    <w:rsid w:val="00E556E2"/>
    <w:rsid w:val="00E564AD"/>
    <w:rsid w:val="00E77D02"/>
    <w:rsid w:val="00E83AA9"/>
    <w:rsid w:val="00EA2FED"/>
    <w:rsid w:val="00EB1CED"/>
    <w:rsid w:val="00EB59FC"/>
    <w:rsid w:val="00ED6DD7"/>
    <w:rsid w:val="00EE77B7"/>
    <w:rsid w:val="00F20AC6"/>
    <w:rsid w:val="00F4303A"/>
    <w:rsid w:val="00F45A83"/>
    <w:rsid w:val="00F76DD4"/>
    <w:rsid w:val="00FA3FDD"/>
    <w:rsid w:val="00FB6A83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3C9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D45DB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Comic Sans MS" w:hAnsi="Comic Sans MS"/>
      <w:spacing w:val="-3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45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453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B57F88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rsid w:val="00B57F88"/>
    <w:rPr>
      <w:color w:val="0000FF"/>
      <w:u w:val="single"/>
    </w:rPr>
  </w:style>
  <w:style w:type="paragraph" w:customStyle="1" w:styleId="nl">
    <w:name w:val="nl"/>
    <w:basedOn w:val="Normal"/>
    <w:rsid w:val="009D1ABE"/>
    <w:rPr>
      <w:lang w:val="es-ES_tradnl" w:eastAsia="es-ES_tradnl"/>
    </w:rPr>
  </w:style>
  <w:style w:type="character" w:customStyle="1" w:styleId="resultmsg">
    <w:name w:val="result_msg"/>
    <w:basedOn w:val="Fuentedeprrafopredeter"/>
    <w:rsid w:val="009D1ABE"/>
    <w:rPr>
      <w:vanish w:val="0"/>
      <w:webHidden w:val="0"/>
      <w:specVanish w:val="0"/>
    </w:rPr>
  </w:style>
  <w:style w:type="character" w:customStyle="1" w:styleId="resultval">
    <w:name w:val="result_val"/>
    <w:basedOn w:val="Fuentedeprrafopredeter"/>
    <w:rsid w:val="009D1ABE"/>
    <w:rPr>
      <w:vanish w:val="0"/>
      <w:webHidden w:val="0"/>
      <w:specVanish w:val="0"/>
    </w:rPr>
  </w:style>
  <w:style w:type="table" w:styleId="Tablaconcuadrcula">
    <w:name w:val="Table Grid"/>
    <w:basedOn w:val="Tablanormal"/>
    <w:rsid w:val="002F5E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CC39F3"/>
    <w:pPr>
      <w:suppressAutoHyphens/>
      <w:ind w:left="360"/>
      <w:jc w:val="both"/>
    </w:pPr>
    <w:rPr>
      <w:rFonts w:ascii="Century Gothic" w:hAnsi="Century Gothic"/>
      <w:szCs w:val="20"/>
      <w:lang w:val="es-ES_tradnl" w:eastAsia="ar-SA"/>
    </w:rPr>
  </w:style>
  <w:style w:type="paragraph" w:customStyle="1" w:styleId="DefaultParagraphFontCharCharChar">
    <w:name w:val="Default Paragraph Font Char Char Char"/>
    <w:aliases w:val="Default Paragraph Font Para Char Char Char Char Char,Default Paragraph Font Char Char11 Char,Default Paragraph Font Char Char1 Char,Default Paragraph Font Para Char Char Char Char1 Char"/>
    <w:basedOn w:val="Normal"/>
    <w:rsid w:val="00C005A0"/>
    <w:pPr>
      <w:widowControl w:val="0"/>
      <w:adjustRightInd w:val="0"/>
      <w:spacing w:after="160" w:line="240" w:lineRule="exact"/>
      <w:jc w:val="both"/>
      <w:textAlignment w:val="baseline"/>
    </w:pPr>
    <w:rPr>
      <w:sz w:val="20"/>
      <w:szCs w:val="20"/>
      <w:lang w:val="es-NI"/>
    </w:rPr>
  </w:style>
  <w:style w:type="paragraph" w:customStyle="1" w:styleId="Car1">
    <w:name w:val="Car1"/>
    <w:basedOn w:val="Normal"/>
    <w:rsid w:val="00325B42"/>
    <w:pPr>
      <w:widowControl w:val="0"/>
      <w:adjustRightInd w:val="0"/>
      <w:spacing w:after="160" w:line="240" w:lineRule="exact"/>
      <w:jc w:val="both"/>
      <w:textAlignment w:val="baseline"/>
    </w:pPr>
    <w:rPr>
      <w:sz w:val="20"/>
      <w:szCs w:val="20"/>
      <w:lang w:val="es-NI"/>
    </w:rPr>
  </w:style>
  <w:style w:type="character" w:styleId="nfasis">
    <w:name w:val="Emphasis"/>
    <w:basedOn w:val="Fuentedeprrafopredeter"/>
    <w:qFormat/>
    <w:rsid w:val="00DB20DB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rsid w:val="00B37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7B7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F45A83"/>
    <w:rPr>
      <w:rFonts w:ascii="Comic Sans MS" w:hAnsi="Comic Sans MS"/>
      <w:spacing w:val="-3"/>
      <w:sz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F45A8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3C9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D45DB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Comic Sans MS" w:hAnsi="Comic Sans MS"/>
      <w:spacing w:val="-3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45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453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B57F88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rsid w:val="00B57F88"/>
    <w:rPr>
      <w:color w:val="0000FF"/>
      <w:u w:val="single"/>
    </w:rPr>
  </w:style>
  <w:style w:type="paragraph" w:customStyle="1" w:styleId="nl">
    <w:name w:val="nl"/>
    <w:basedOn w:val="Normal"/>
    <w:rsid w:val="009D1ABE"/>
    <w:rPr>
      <w:lang w:val="es-ES_tradnl" w:eastAsia="es-ES_tradnl"/>
    </w:rPr>
  </w:style>
  <w:style w:type="character" w:customStyle="1" w:styleId="resultmsg">
    <w:name w:val="result_msg"/>
    <w:basedOn w:val="Fuentedeprrafopredeter"/>
    <w:rsid w:val="009D1ABE"/>
    <w:rPr>
      <w:vanish w:val="0"/>
      <w:webHidden w:val="0"/>
      <w:specVanish w:val="0"/>
    </w:rPr>
  </w:style>
  <w:style w:type="character" w:customStyle="1" w:styleId="resultval">
    <w:name w:val="result_val"/>
    <w:basedOn w:val="Fuentedeprrafopredeter"/>
    <w:rsid w:val="009D1ABE"/>
    <w:rPr>
      <w:vanish w:val="0"/>
      <w:webHidden w:val="0"/>
      <w:specVanish w:val="0"/>
    </w:rPr>
  </w:style>
  <w:style w:type="table" w:styleId="Tablaconcuadrcula">
    <w:name w:val="Table Grid"/>
    <w:basedOn w:val="Tablanormal"/>
    <w:rsid w:val="002F5E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CC39F3"/>
    <w:pPr>
      <w:suppressAutoHyphens/>
      <w:ind w:left="360"/>
      <w:jc w:val="both"/>
    </w:pPr>
    <w:rPr>
      <w:rFonts w:ascii="Century Gothic" w:hAnsi="Century Gothic"/>
      <w:szCs w:val="20"/>
      <w:lang w:val="es-ES_tradnl" w:eastAsia="ar-SA"/>
    </w:rPr>
  </w:style>
  <w:style w:type="paragraph" w:customStyle="1" w:styleId="DefaultParagraphFontCharCharChar">
    <w:name w:val="Default Paragraph Font Char Char Char"/>
    <w:aliases w:val="Default Paragraph Font Para Char Char Char Char Char,Default Paragraph Font Char Char11 Char,Default Paragraph Font Char Char1 Char,Default Paragraph Font Para Char Char Char Char1 Char"/>
    <w:basedOn w:val="Normal"/>
    <w:rsid w:val="00C005A0"/>
    <w:pPr>
      <w:widowControl w:val="0"/>
      <w:adjustRightInd w:val="0"/>
      <w:spacing w:after="160" w:line="240" w:lineRule="exact"/>
      <w:jc w:val="both"/>
      <w:textAlignment w:val="baseline"/>
    </w:pPr>
    <w:rPr>
      <w:sz w:val="20"/>
      <w:szCs w:val="20"/>
      <w:lang w:val="es-NI"/>
    </w:rPr>
  </w:style>
  <w:style w:type="paragraph" w:customStyle="1" w:styleId="Car1">
    <w:name w:val="Car1"/>
    <w:basedOn w:val="Normal"/>
    <w:rsid w:val="00325B42"/>
    <w:pPr>
      <w:widowControl w:val="0"/>
      <w:adjustRightInd w:val="0"/>
      <w:spacing w:after="160" w:line="240" w:lineRule="exact"/>
      <w:jc w:val="both"/>
      <w:textAlignment w:val="baseline"/>
    </w:pPr>
    <w:rPr>
      <w:sz w:val="20"/>
      <w:szCs w:val="20"/>
      <w:lang w:val="es-NI"/>
    </w:rPr>
  </w:style>
  <w:style w:type="character" w:styleId="nfasis">
    <w:name w:val="Emphasis"/>
    <w:basedOn w:val="Fuentedeprrafopredeter"/>
    <w:qFormat/>
    <w:rsid w:val="00DB20DB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rsid w:val="00B37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7B7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F45A83"/>
    <w:rPr>
      <w:rFonts w:ascii="Comic Sans MS" w:hAnsi="Comic Sans MS"/>
      <w:spacing w:val="-3"/>
      <w:sz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F45A8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Valoración Proyectos Educativos presentados a la Convocatoria de Ayudas Abierta y Permanente de la FOAL</vt:lpstr>
    </vt:vector>
  </TitlesOfParts>
  <Company>O.N.C.E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Valoración Proyectos Educativos presentados a la Convocatoria de Ayudas Abierta y Permanente de la FOAL</dc:title>
  <dc:creator>ONCE</dc:creator>
  <cp:lastModifiedBy>ONCE</cp:lastModifiedBy>
  <cp:revision>2</cp:revision>
  <dcterms:created xsi:type="dcterms:W3CDTF">2016-10-04T12:11:00Z</dcterms:created>
  <dcterms:modified xsi:type="dcterms:W3CDTF">2016-10-04T12:11:00Z</dcterms:modified>
</cp:coreProperties>
</file>